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2C8F5B81" w14:textId="77777777" w:rsidTr="00826D53">
        <w:trPr>
          <w:trHeight w:val="282"/>
        </w:trPr>
        <w:tc>
          <w:tcPr>
            <w:tcW w:w="500" w:type="dxa"/>
            <w:vMerge w:val="restart"/>
            <w:tcBorders>
              <w:bottom w:val="nil"/>
            </w:tcBorders>
            <w:textDirection w:val="btLr"/>
          </w:tcPr>
          <w:p w14:paraId="79A325A7"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02E86E95"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4A924EB4" wp14:editId="69E22B4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08C4">
              <w:rPr>
                <w:rFonts w:cs="Tahoma"/>
                <w:b/>
                <w:bCs/>
                <w:color w:val="365F91" w:themeColor="accent1" w:themeShade="BF"/>
                <w:szCs w:val="22"/>
              </w:rPr>
              <w:t>World Meteorological Organization</w:t>
            </w:r>
          </w:p>
          <w:p w14:paraId="29E707CC" w14:textId="77777777" w:rsidR="00A80767" w:rsidRPr="00B24FC9" w:rsidRDefault="002008C4"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1F22E366" w14:textId="77777777" w:rsidR="00A80767" w:rsidRPr="00B24FC9" w:rsidRDefault="002008C4"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24 to 28 October 2022, Geneva</w:t>
            </w:r>
          </w:p>
        </w:tc>
        <w:tc>
          <w:tcPr>
            <w:tcW w:w="2962" w:type="dxa"/>
          </w:tcPr>
          <w:p w14:paraId="187A72B5" w14:textId="77777777" w:rsidR="00A80767" w:rsidRPr="00FA3986" w:rsidRDefault="002008C4"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INFCOM-2/Doc. 8</w:t>
            </w:r>
          </w:p>
        </w:tc>
      </w:tr>
      <w:tr w:rsidR="00A80767" w:rsidRPr="00B24FC9" w14:paraId="77F63168" w14:textId="77777777" w:rsidTr="00826D53">
        <w:trPr>
          <w:trHeight w:val="730"/>
        </w:trPr>
        <w:tc>
          <w:tcPr>
            <w:tcW w:w="500" w:type="dxa"/>
            <w:vMerge/>
            <w:tcBorders>
              <w:bottom w:val="nil"/>
            </w:tcBorders>
          </w:tcPr>
          <w:p w14:paraId="12B61DD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FA44B0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CDF17AC"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DE48B4">
              <w:rPr>
                <w:rFonts w:cs="Tahoma"/>
                <w:color w:val="365F91" w:themeColor="accent1" w:themeShade="BF"/>
                <w:szCs w:val="22"/>
                <w:highlight w:val="lightGray"/>
              </w:rPr>
              <w:br/>
            </w:r>
            <w:r w:rsidRPr="0010518B">
              <w:rPr>
                <w:rFonts w:cs="Tahoma"/>
                <w:color w:val="365F91" w:themeColor="accent1" w:themeShade="BF"/>
                <w:szCs w:val="22"/>
              </w:rPr>
              <w:t>President of the Commission</w:t>
            </w:r>
            <w:r w:rsidRPr="00B24FC9">
              <w:rPr>
                <w:rFonts w:cs="Tahoma"/>
                <w:color w:val="365F91" w:themeColor="accent1" w:themeShade="BF"/>
                <w:szCs w:val="22"/>
              </w:rPr>
              <w:t xml:space="preserve"> </w:t>
            </w:r>
          </w:p>
          <w:p w14:paraId="659BE9F0" w14:textId="72B01F28" w:rsidR="00A80767" w:rsidRPr="00B24FC9" w:rsidRDefault="007E2FB2"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CH"/>
              </w:rPr>
              <w:t>2</w:t>
            </w:r>
            <w:r w:rsidR="00023815">
              <w:rPr>
                <w:rFonts w:cs="Tahoma"/>
                <w:color w:val="365F91" w:themeColor="accent1" w:themeShade="BF"/>
                <w:szCs w:val="22"/>
                <w:lang w:val="en-CH"/>
              </w:rPr>
              <w:t>3</w:t>
            </w:r>
            <w:r w:rsidR="002008C4">
              <w:rPr>
                <w:rFonts w:cs="Tahoma"/>
                <w:color w:val="365F91" w:themeColor="accent1" w:themeShade="BF"/>
                <w:szCs w:val="22"/>
              </w:rPr>
              <w:t>.IX.2022</w:t>
            </w:r>
          </w:p>
          <w:p w14:paraId="296A8ED4"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3AD24D2E" w14:textId="77777777" w:rsidR="00A80767" w:rsidRPr="00B24FC9" w:rsidRDefault="002008C4" w:rsidP="00A80767">
      <w:pPr>
        <w:pStyle w:val="WMOBodyText"/>
        <w:ind w:left="2977" w:hanging="2977"/>
      </w:pPr>
      <w:r>
        <w:rPr>
          <w:b/>
          <w:bCs/>
        </w:rPr>
        <w:t>AGENDA ITEM 8:</w:t>
      </w:r>
      <w:r>
        <w:rPr>
          <w:b/>
          <w:bCs/>
        </w:rPr>
        <w:tab/>
        <w:t>CAPACITY DEVELOPMENT</w:t>
      </w:r>
    </w:p>
    <w:p w14:paraId="30E7B4DB" w14:textId="77777777" w:rsidR="00A80767" w:rsidRDefault="00023996" w:rsidP="00A80767">
      <w:pPr>
        <w:pStyle w:val="Heading1"/>
      </w:pPr>
      <w:bookmarkStart w:id="0" w:name="_APPENDIX_A:_"/>
      <w:bookmarkEnd w:id="0"/>
      <w:r w:rsidRPr="00023996">
        <w:t>CAPACITY DEVELOPMENT</w:t>
      </w:r>
    </w:p>
    <w:p w14:paraId="4411F28D"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4095B20E" w14:textId="77777777" w:rsidTr="00302543">
        <w:trPr>
          <w:jc w:val="center"/>
        </w:trPr>
        <w:tc>
          <w:tcPr>
            <w:tcW w:w="5000" w:type="pct"/>
          </w:tcPr>
          <w:p w14:paraId="7F92DF83" w14:textId="77777777" w:rsidR="000731AA" w:rsidRPr="00A058A5" w:rsidRDefault="000731AA" w:rsidP="00A058A5">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07009250" w14:textId="77777777" w:rsidTr="00302543">
        <w:trPr>
          <w:jc w:val="center"/>
        </w:trPr>
        <w:tc>
          <w:tcPr>
            <w:tcW w:w="5000" w:type="pct"/>
          </w:tcPr>
          <w:p w14:paraId="49DC9A87" w14:textId="77777777" w:rsidR="000731AA" w:rsidRDefault="000731AA" w:rsidP="00795D3E">
            <w:pPr>
              <w:pStyle w:val="WMOBodyText"/>
              <w:spacing w:before="160"/>
              <w:jc w:val="left"/>
            </w:pPr>
            <w:r w:rsidRPr="000E67E2">
              <w:rPr>
                <w:b/>
                <w:bCs/>
              </w:rPr>
              <w:t>Document presented by:</w:t>
            </w:r>
            <w:r>
              <w:t xml:space="preserve"> </w:t>
            </w:r>
            <w:r w:rsidR="0010518B">
              <w:t xml:space="preserve">the president </w:t>
            </w:r>
            <w:r w:rsidR="0071627F">
              <w:t>of the Commission</w:t>
            </w:r>
          </w:p>
          <w:p w14:paraId="2F2105E9" w14:textId="77777777" w:rsidR="000731AA" w:rsidRDefault="000731AA" w:rsidP="00795D3E">
            <w:pPr>
              <w:pStyle w:val="WMOBodyText"/>
              <w:spacing w:before="160"/>
              <w:jc w:val="left"/>
              <w:rPr>
                <w:b/>
                <w:bCs/>
              </w:rPr>
            </w:pPr>
            <w:r w:rsidRPr="00A35159">
              <w:rPr>
                <w:b/>
                <w:bCs/>
              </w:rPr>
              <w:t xml:space="preserve">Strategic objective 2020–2023: </w:t>
            </w:r>
            <w:r w:rsidR="0071627F" w:rsidRPr="0071627F">
              <w:t>2.1, 2.2, 2.3</w:t>
            </w:r>
            <w:r w:rsidRPr="0071627F">
              <w:t xml:space="preserve"> </w:t>
            </w:r>
          </w:p>
          <w:p w14:paraId="20EC7F75" w14:textId="44675F43" w:rsidR="000731AA" w:rsidRDefault="000731AA" w:rsidP="00795D3E">
            <w:pPr>
              <w:pStyle w:val="WMOBodyText"/>
              <w:spacing w:before="160"/>
              <w:jc w:val="left"/>
            </w:pPr>
            <w:r w:rsidRPr="000E67E2">
              <w:rPr>
                <w:b/>
                <w:bCs/>
              </w:rPr>
              <w:t>Financial and administrative implications:</w:t>
            </w:r>
            <w:r>
              <w:t xml:space="preserve"> </w:t>
            </w:r>
            <w:r w:rsidRPr="0071627F">
              <w:t xml:space="preserve">within the parameters of the Strategic and Operational Plans 2020–2023, will be reflected in the Strategic and Operational Plans </w:t>
            </w:r>
            <w:r w:rsidR="00A66F91">
              <w:br/>
            </w:r>
            <w:r w:rsidRPr="0071627F">
              <w:t>2024–2027.</w:t>
            </w:r>
          </w:p>
          <w:p w14:paraId="2BE26DBE" w14:textId="77777777" w:rsidR="000731AA" w:rsidRDefault="000731AA" w:rsidP="00795D3E">
            <w:pPr>
              <w:pStyle w:val="WMOBodyText"/>
              <w:spacing w:before="160"/>
              <w:jc w:val="left"/>
            </w:pPr>
            <w:r w:rsidRPr="000E67E2">
              <w:rPr>
                <w:b/>
                <w:bCs/>
              </w:rPr>
              <w:t>Key implementers:</w:t>
            </w:r>
            <w:r>
              <w:t xml:space="preserve"> </w:t>
            </w:r>
            <w:r w:rsidR="0071627F">
              <w:t>INFCOM</w:t>
            </w:r>
            <w:r w:rsidR="0071627F" w:rsidRPr="00AD5472">
              <w:t>,</w:t>
            </w:r>
            <w:r w:rsidRPr="00AD5472">
              <w:t xml:space="preserve"> in consultation with CDP and RAs</w:t>
            </w:r>
          </w:p>
          <w:p w14:paraId="2898DB61" w14:textId="79060F42" w:rsidR="000731AA" w:rsidRDefault="000731AA" w:rsidP="00795D3E">
            <w:pPr>
              <w:pStyle w:val="WMOBodyText"/>
              <w:spacing w:before="160"/>
              <w:jc w:val="left"/>
            </w:pPr>
            <w:r w:rsidRPr="000E67E2">
              <w:rPr>
                <w:b/>
                <w:bCs/>
              </w:rPr>
              <w:t>Time</w:t>
            </w:r>
            <w:r w:rsidR="007C100D">
              <w:rPr>
                <w:b/>
                <w:bCs/>
                <w:lang w:val="en-CH"/>
              </w:rPr>
              <w:t xml:space="preserve"> </w:t>
            </w:r>
            <w:r w:rsidRPr="000E67E2">
              <w:rPr>
                <w:b/>
                <w:bCs/>
              </w:rPr>
              <w:t>frame:</w:t>
            </w:r>
            <w:r>
              <w:t xml:space="preserve"> </w:t>
            </w:r>
            <w:r w:rsidRPr="00AD5472">
              <w:t>202</w:t>
            </w:r>
            <w:r w:rsidR="00AD5472" w:rsidRPr="00AD5472">
              <w:t>2</w:t>
            </w:r>
            <w:r w:rsidRPr="00AD5472">
              <w:t>-202</w:t>
            </w:r>
            <w:r w:rsidR="00AD5472" w:rsidRPr="00AD5472">
              <w:t>4</w:t>
            </w:r>
          </w:p>
          <w:p w14:paraId="0B24EB6A" w14:textId="77777777" w:rsidR="000731AA" w:rsidRDefault="000731AA" w:rsidP="00795D3E">
            <w:pPr>
              <w:pStyle w:val="WMOBodyText"/>
              <w:spacing w:before="160"/>
              <w:jc w:val="left"/>
            </w:pPr>
            <w:r w:rsidRPr="000E67E2">
              <w:rPr>
                <w:b/>
                <w:bCs/>
              </w:rPr>
              <w:t>Action expected:</w:t>
            </w:r>
            <w:r>
              <w:t xml:space="preserve"> </w:t>
            </w:r>
            <w:r w:rsidRPr="00AD5472">
              <w:t xml:space="preserve">review </w:t>
            </w:r>
            <w:r w:rsidR="00AD5472" w:rsidRPr="00AD5472">
              <w:t>and adopt</w:t>
            </w:r>
            <w:r w:rsidRPr="00AD5472">
              <w:t xml:space="preserve"> </w:t>
            </w:r>
            <w:hyperlink w:anchor="_Draft_Decision_8/1" w:history="1">
              <w:r w:rsidRPr="00481EE6">
                <w:rPr>
                  <w:rStyle w:val="Hyperlink"/>
                </w:rPr>
                <w:t>draft</w:t>
              </w:r>
              <w:r w:rsidR="00AD5472" w:rsidRPr="00481EE6">
                <w:rPr>
                  <w:rStyle w:val="Hyperlink"/>
                </w:rPr>
                <w:t xml:space="preserve"> Decis</w:t>
              </w:r>
              <w:r w:rsidR="00AD5472" w:rsidRPr="00481EE6">
                <w:rPr>
                  <w:rStyle w:val="Hyperlink"/>
                </w:rPr>
                <w:t>i</w:t>
              </w:r>
              <w:r w:rsidR="00AD5472" w:rsidRPr="00481EE6">
                <w:rPr>
                  <w:rStyle w:val="Hyperlink"/>
                </w:rPr>
                <w:t>on 8/1</w:t>
              </w:r>
            </w:hyperlink>
            <w:r w:rsidRPr="00AD5472">
              <w:t xml:space="preserve"> </w:t>
            </w:r>
          </w:p>
          <w:p w14:paraId="2267E673" w14:textId="77777777" w:rsidR="000731AA" w:rsidRPr="00DE48B4" w:rsidRDefault="000731AA" w:rsidP="00795D3E">
            <w:pPr>
              <w:pStyle w:val="WMOBodyText"/>
              <w:spacing w:before="160"/>
              <w:jc w:val="left"/>
            </w:pPr>
          </w:p>
        </w:tc>
      </w:tr>
    </w:tbl>
    <w:p w14:paraId="3BF9B3F2" w14:textId="77777777" w:rsidR="00092CAE" w:rsidRDefault="00092CAE">
      <w:pPr>
        <w:tabs>
          <w:tab w:val="clear" w:pos="1134"/>
        </w:tabs>
        <w:jc w:val="left"/>
      </w:pPr>
    </w:p>
    <w:p w14:paraId="75791D2F" w14:textId="77777777" w:rsidR="00331964" w:rsidRDefault="00331964">
      <w:pPr>
        <w:tabs>
          <w:tab w:val="clear" w:pos="1134"/>
        </w:tabs>
        <w:jc w:val="left"/>
        <w:rPr>
          <w:rFonts w:eastAsia="Verdana" w:cs="Verdana"/>
          <w:lang w:eastAsia="zh-TW"/>
        </w:rPr>
      </w:pPr>
      <w:r>
        <w:br w:type="page"/>
      </w:r>
    </w:p>
    <w:p w14:paraId="42617ED9" w14:textId="77777777" w:rsidR="0037222D" w:rsidRDefault="0037222D" w:rsidP="0037222D">
      <w:pPr>
        <w:pStyle w:val="Heading1"/>
      </w:pPr>
      <w:r>
        <w:lastRenderedPageBreak/>
        <w:t>DRAFT DECISION</w:t>
      </w:r>
    </w:p>
    <w:p w14:paraId="314C1E87" w14:textId="77777777" w:rsidR="0037222D" w:rsidRDefault="0037222D" w:rsidP="0037222D">
      <w:pPr>
        <w:pStyle w:val="Heading2"/>
      </w:pPr>
      <w:bookmarkStart w:id="1" w:name="_Draft_Decision_8/1"/>
      <w:bookmarkEnd w:id="1"/>
      <w:r>
        <w:t xml:space="preserve">Draft Decision </w:t>
      </w:r>
      <w:r w:rsidR="002008C4">
        <w:t>8</w:t>
      </w:r>
      <w:r w:rsidRPr="00B24FC9">
        <w:t xml:space="preserve">/1 </w:t>
      </w:r>
      <w:r w:rsidR="002008C4">
        <w:t>(INFCOM-2)</w:t>
      </w:r>
    </w:p>
    <w:p w14:paraId="503BF6C3" w14:textId="77777777" w:rsidR="0037222D" w:rsidRDefault="00AD5472" w:rsidP="0037222D">
      <w:pPr>
        <w:pStyle w:val="Heading3"/>
      </w:pPr>
      <w:r>
        <w:t>Capacity Developmen</w:t>
      </w:r>
      <w:r w:rsidR="007E7B69">
        <w:t>t</w:t>
      </w:r>
    </w:p>
    <w:p w14:paraId="277668E3" w14:textId="77777777" w:rsidR="0037222D" w:rsidRDefault="00307DDD" w:rsidP="0037222D">
      <w:pPr>
        <w:pStyle w:val="WMOBodyText"/>
        <w:rPr>
          <w:i/>
          <w:iCs/>
          <w:shd w:val="clear" w:color="auto" w:fill="D3D3D3"/>
        </w:rPr>
      </w:pPr>
      <w:r>
        <w:rPr>
          <w:b/>
          <w:bCs/>
        </w:rPr>
        <w:t xml:space="preserve">The </w:t>
      </w:r>
      <w:r w:rsidR="002008C4">
        <w:rPr>
          <w:b/>
          <w:bCs/>
        </w:rPr>
        <w:t>Commission for Observation, Infrastructure and Information Systems</w:t>
      </w:r>
      <w:r>
        <w:rPr>
          <w:b/>
          <w:bCs/>
        </w:rPr>
        <w:t xml:space="preserve"> decides:</w:t>
      </w:r>
    </w:p>
    <w:p w14:paraId="04A2A256" w14:textId="77777777" w:rsidR="00BE54E7" w:rsidRPr="00044389" w:rsidRDefault="00BE54E7" w:rsidP="00BE54E7">
      <w:pPr>
        <w:pStyle w:val="WMOIndent1"/>
        <w:rPr>
          <w:rFonts w:eastAsia="Verdana" w:cs="Verdana"/>
        </w:rPr>
      </w:pPr>
      <w:r w:rsidRPr="00044389">
        <w:rPr>
          <w:rFonts w:eastAsia="Verdana" w:cs="Verdana"/>
        </w:rPr>
        <w:t xml:space="preserve">(Competency Framework) </w:t>
      </w:r>
    </w:p>
    <w:p w14:paraId="6E3A76DC" w14:textId="77777777" w:rsidR="00BE54E7" w:rsidRPr="00044389" w:rsidRDefault="00BE54E7" w:rsidP="00BE54E7">
      <w:pPr>
        <w:pStyle w:val="WMOIndent1"/>
        <w:rPr>
          <w:rFonts w:eastAsia="Verdana" w:cs="Verdana"/>
        </w:rPr>
      </w:pPr>
      <w:r w:rsidRPr="00044389">
        <w:rPr>
          <w:rFonts w:eastAsia="Verdana" w:cs="Verdana"/>
        </w:rPr>
        <w:t>(1)</w:t>
      </w:r>
      <w:r w:rsidRPr="00044389">
        <w:rPr>
          <w:rFonts w:eastAsia="Verdana" w:cs="Verdana"/>
        </w:rPr>
        <w:tab/>
        <w:t xml:space="preserve">To review, in collaboration with the Regional Offices, the existing Competency Frameworks (as presented in </w:t>
      </w:r>
      <w:hyperlink r:id="rId12" w:history="1">
        <w:r w:rsidR="00FD4114" w:rsidRPr="00FD4114">
          <w:rPr>
            <w:rStyle w:val="Hyperlink"/>
            <w:rFonts w:eastAsia="Verdana" w:cs="Verdana"/>
            <w:lang w:val="en-CH"/>
          </w:rPr>
          <w:t>INFCOM-2/</w:t>
        </w:r>
        <w:r w:rsidR="00684986" w:rsidRPr="00FD4114">
          <w:rPr>
            <w:rStyle w:val="Hyperlink"/>
            <w:rFonts w:eastAsia="Verdana" w:cs="Verdana"/>
          </w:rPr>
          <w:t>INF. 8</w:t>
        </w:r>
        <w:r w:rsidR="00684986" w:rsidRPr="00FD4114">
          <w:rPr>
            <w:rStyle w:val="Hyperlink"/>
            <w:rFonts w:eastAsia="Verdana" w:cs="Verdana"/>
          </w:rPr>
          <w:t xml:space="preserve"> </w:t>
        </w:r>
        <w:r w:rsidR="00684986" w:rsidRPr="00FD4114">
          <w:rPr>
            <w:rStyle w:val="Hyperlink"/>
            <w:rFonts w:eastAsia="Verdana" w:cs="Verdana"/>
          </w:rPr>
          <w:t xml:space="preserve">Table </w:t>
        </w:r>
        <w:r w:rsidR="00F80C48" w:rsidRPr="00FD4114">
          <w:rPr>
            <w:rStyle w:val="Hyperlink"/>
            <w:rFonts w:eastAsia="Verdana" w:cs="Verdana"/>
          </w:rPr>
          <w:t>A</w:t>
        </w:r>
      </w:hyperlink>
      <w:r w:rsidRPr="00044389">
        <w:rPr>
          <w:rFonts w:eastAsia="Verdana" w:cs="Verdana"/>
        </w:rPr>
        <w:t xml:space="preserve">), </w:t>
      </w:r>
      <w:r w:rsidR="00FA326D" w:rsidRPr="00044389">
        <w:rPr>
          <w:rFonts w:eastAsia="Verdana" w:cs="Verdana"/>
        </w:rPr>
        <w:t xml:space="preserve">and, </w:t>
      </w:r>
      <w:r w:rsidRPr="00044389">
        <w:rPr>
          <w:rFonts w:eastAsia="Verdana" w:cs="Verdana"/>
        </w:rPr>
        <w:t xml:space="preserve">in coordination with the Capacity Development Panel (CDP), draft a plan for updating the existing and developing of new competency frameworks, as necessary; </w:t>
      </w:r>
    </w:p>
    <w:p w14:paraId="53EEC9E9" w14:textId="77777777" w:rsidR="00BE54E7" w:rsidRPr="00044389" w:rsidRDefault="00BE54E7" w:rsidP="00BE54E7">
      <w:pPr>
        <w:pStyle w:val="WMOIndent1"/>
        <w:rPr>
          <w:rFonts w:eastAsia="Verdana" w:cs="Verdana"/>
        </w:rPr>
      </w:pPr>
      <w:r w:rsidRPr="00044389">
        <w:rPr>
          <w:rFonts w:eastAsia="Verdana" w:cs="Verdana"/>
        </w:rPr>
        <w:t xml:space="preserve">(Plan and implementation of training activities) </w:t>
      </w:r>
    </w:p>
    <w:p w14:paraId="0AC4D061" w14:textId="77777777" w:rsidR="00BE54E7" w:rsidRPr="00044389" w:rsidRDefault="00BE54E7" w:rsidP="00BE54E7">
      <w:pPr>
        <w:pStyle w:val="WMOIndent1"/>
        <w:rPr>
          <w:rFonts w:eastAsia="Verdana" w:cs="Verdana"/>
        </w:rPr>
      </w:pPr>
      <w:r w:rsidRPr="00044389">
        <w:rPr>
          <w:rFonts w:eastAsia="Verdana" w:cs="Verdana"/>
        </w:rPr>
        <w:t>(2)</w:t>
      </w:r>
      <w:r w:rsidRPr="00044389">
        <w:rPr>
          <w:rFonts w:eastAsia="Verdana" w:cs="Verdana"/>
        </w:rPr>
        <w:tab/>
        <w:t>To endorse the plan of capacity development activities (as presented in</w:t>
      </w:r>
      <w:r w:rsidR="00684986" w:rsidRPr="00044389">
        <w:rPr>
          <w:rFonts w:eastAsia="Verdana" w:cs="Verdana"/>
        </w:rPr>
        <w:t xml:space="preserve"> </w:t>
      </w:r>
      <w:hyperlink r:id="rId13" w:history="1">
        <w:r w:rsidR="00FD4114" w:rsidRPr="00FD4114">
          <w:rPr>
            <w:rStyle w:val="Hyperlink"/>
            <w:rFonts w:eastAsia="Verdana" w:cs="Verdana"/>
            <w:lang w:val="en-CH"/>
          </w:rPr>
          <w:t>INFCOM-2/</w:t>
        </w:r>
        <w:r w:rsidR="00684986" w:rsidRPr="00FD4114">
          <w:rPr>
            <w:rStyle w:val="Hyperlink"/>
            <w:rFonts w:eastAsia="Verdana" w:cs="Verdana"/>
          </w:rPr>
          <w:t>INF. 8 Table B and C</w:t>
        </w:r>
      </w:hyperlink>
      <w:r w:rsidR="00545653">
        <w:rPr>
          <w:rFonts w:eastAsia="Verdana" w:cs="Verdana"/>
        </w:rPr>
        <w:t xml:space="preserve">, </w:t>
      </w:r>
      <w:r w:rsidR="003D0849">
        <w:rPr>
          <w:rFonts w:eastAsia="Verdana" w:cs="Verdana"/>
        </w:rPr>
        <w:t>excerp</w:t>
      </w:r>
      <w:r w:rsidR="00545653">
        <w:rPr>
          <w:rFonts w:eastAsia="Verdana" w:cs="Verdana"/>
        </w:rPr>
        <w:t xml:space="preserve">ted from the </w:t>
      </w:r>
      <w:r w:rsidR="00207485">
        <w:rPr>
          <w:rFonts w:eastAsia="Verdana" w:cs="Verdana"/>
        </w:rPr>
        <w:t>w</w:t>
      </w:r>
      <w:r w:rsidR="00545653">
        <w:rPr>
          <w:rFonts w:eastAsia="Verdana" w:cs="Verdana"/>
        </w:rPr>
        <w:t xml:space="preserve">ork </w:t>
      </w:r>
      <w:r w:rsidR="00207485">
        <w:rPr>
          <w:rFonts w:eastAsia="Verdana" w:cs="Verdana"/>
        </w:rPr>
        <w:t>p</w:t>
      </w:r>
      <w:r w:rsidR="00545653">
        <w:rPr>
          <w:rFonts w:eastAsia="Verdana" w:cs="Verdana"/>
        </w:rPr>
        <w:t>rogramme</w:t>
      </w:r>
      <w:r w:rsidR="00C305BE">
        <w:rPr>
          <w:rFonts w:eastAsia="Verdana" w:cs="Verdana"/>
        </w:rPr>
        <w:t xml:space="preserve"> of the Commission</w:t>
      </w:r>
      <w:r w:rsidR="005F1BC2">
        <w:rPr>
          <w:rFonts w:eastAsia="Verdana" w:cs="Verdana"/>
        </w:rPr>
        <w:t xml:space="preserve"> presented in </w:t>
      </w:r>
      <w:hyperlink r:id="rId14" w:history="1">
        <w:r w:rsidR="005F1BC2" w:rsidRPr="00FD4114">
          <w:rPr>
            <w:rStyle w:val="Hyperlink"/>
            <w:rFonts w:eastAsia="Verdana" w:cs="Verdana"/>
          </w:rPr>
          <w:t>Draft Resolution 5.1/1</w:t>
        </w:r>
        <w:r w:rsidR="00FD4114" w:rsidRPr="00FD4114">
          <w:rPr>
            <w:rStyle w:val="Hyperlink"/>
            <w:rFonts w:eastAsia="Verdana" w:cs="Verdana"/>
            <w:lang w:val="en-CH"/>
          </w:rPr>
          <w:t xml:space="preserve"> (INFCOM-2)</w:t>
        </w:r>
      </w:hyperlink>
      <w:r w:rsidRPr="00044389">
        <w:rPr>
          <w:rFonts w:eastAsia="Verdana" w:cs="Verdana"/>
        </w:rPr>
        <w:t xml:space="preserve">), and request the Management Group, in coordination with </w:t>
      </w:r>
      <w:r w:rsidR="009F286A" w:rsidRPr="00044389">
        <w:rPr>
          <w:rFonts w:eastAsia="Verdana" w:cs="Verdana"/>
        </w:rPr>
        <w:t>CDP</w:t>
      </w:r>
      <w:r w:rsidRPr="00044389">
        <w:rPr>
          <w:rFonts w:eastAsia="Verdana" w:cs="Verdana"/>
        </w:rPr>
        <w:t xml:space="preserve"> and regional working groups, supported by the Regional Offices, to support the implementation of these activities</w:t>
      </w:r>
      <w:r w:rsidR="009F286A" w:rsidRPr="00044389">
        <w:rPr>
          <w:rFonts w:eastAsia="Verdana" w:cs="Verdana"/>
        </w:rPr>
        <w:t>;</w:t>
      </w:r>
      <w:r w:rsidRPr="00044389">
        <w:rPr>
          <w:rFonts w:eastAsia="Verdana" w:cs="Verdana"/>
        </w:rPr>
        <w:t xml:space="preserve">  </w:t>
      </w:r>
    </w:p>
    <w:p w14:paraId="3B7ADFD2" w14:textId="6A3CF4F6" w:rsidR="00BE54E7" w:rsidRPr="00044389" w:rsidRDefault="00BE54E7" w:rsidP="00BE54E7">
      <w:pPr>
        <w:pStyle w:val="WMOIndent1"/>
        <w:rPr>
          <w:rFonts w:eastAsia="Verdana" w:cs="Verdana"/>
        </w:rPr>
      </w:pPr>
      <w:r w:rsidRPr="00044389">
        <w:rPr>
          <w:rFonts w:eastAsia="Verdana" w:cs="Verdana"/>
        </w:rPr>
        <w:t>(3)</w:t>
      </w:r>
      <w:r w:rsidRPr="00044389">
        <w:rPr>
          <w:rFonts w:eastAsia="Verdana" w:cs="Verdana"/>
        </w:rPr>
        <w:tab/>
        <w:t>To encourage INFCOM-related regional centres (</w:t>
      </w:r>
      <w:r w:rsidR="007221CB" w:rsidRPr="00044389">
        <w:rPr>
          <w:rFonts w:eastAsia="Verdana" w:cs="Verdana"/>
        </w:rPr>
        <w:t>e.g.</w:t>
      </w:r>
      <w:r w:rsidRPr="00044389">
        <w:rPr>
          <w:rFonts w:eastAsia="Verdana" w:cs="Verdana"/>
        </w:rPr>
        <w:t xml:space="preserve"> R</w:t>
      </w:r>
      <w:r w:rsidR="00744764" w:rsidRPr="00044389">
        <w:rPr>
          <w:rFonts w:eastAsia="Verdana" w:cs="Verdana"/>
        </w:rPr>
        <w:t xml:space="preserve">egional </w:t>
      </w:r>
      <w:r w:rsidR="00A4251C">
        <w:rPr>
          <w:rFonts w:eastAsia="Verdana" w:cs="Verdana"/>
          <w:lang w:val="en-CH"/>
        </w:rPr>
        <w:t>WMO Integrated Global Observing System (</w:t>
      </w:r>
      <w:r w:rsidRPr="00044389">
        <w:rPr>
          <w:rFonts w:eastAsia="Verdana" w:cs="Verdana"/>
        </w:rPr>
        <w:t>W</w:t>
      </w:r>
      <w:r w:rsidR="00744764" w:rsidRPr="00044389">
        <w:rPr>
          <w:rFonts w:eastAsia="Verdana" w:cs="Verdana"/>
        </w:rPr>
        <w:t>IGOS</w:t>
      </w:r>
      <w:r w:rsidR="00A4251C">
        <w:rPr>
          <w:rFonts w:eastAsia="Verdana" w:cs="Verdana"/>
          <w:lang w:val="en-CH"/>
        </w:rPr>
        <w:t>)</w:t>
      </w:r>
      <w:r w:rsidR="00744764" w:rsidRPr="00044389">
        <w:rPr>
          <w:rFonts w:eastAsia="Verdana" w:cs="Verdana"/>
        </w:rPr>
        <w:t xml:space="preserve"> </w:t>
      </w:r>
      <w:r w:rsidRPr="00044389">
        <w:rPr>
          <w:rFonts w:eastAsia="Verdana" w:cs="Verdana"/>
        </w:rPr>
        <w:t>C</w:t>
      </w:r>
      <w:r w:rsidR="00744764" w:rsidRPr="00044389">
        <w:rPr>
          <w:rFonts w:eastAsia="Verdana" w:cs="Verdana"/>
        </w:rPr>
        <w:t>entre</w:t>
      </w:r>
      <w:r w:rsidRPr="00044389">
        <w:rPr>
          <w:rFonts w:eastAsia="Verdana" w:cs="Verdana"/>
        </w:rPr>
        <w:t>s</w:t>
      </w:r>
      <w:r w:rsidR="00CE1183" w:rsidRPr="00044389">
        <w:rPr>
          <w:rFonts w:eastAsia="Verdana" w:cs="Verdana"/>
        </w:rPr>
        <w:t xml:space="preserve"> (RWCs)</w:t>
      </w:r>
      <w:r w:rsidRPr="00044389">
        <w:rPr>
          <w:rFonts w:eastAsia="Verdana" w:cs="Verdana"/>
        </w:rPr>
        <w:t>, R</w:t>
      </w:r>
      <w:r w:rsidR="00744764" w:rsidRPr="00044389">
        <w:rPr>
          <w:rFonts w:eastAsia="Verdana" w:cs="Verdana"/>
        </w:rPr>
        <w:t xml:space="preserve">egional </w:t>
      </w:r>
      <w:r w:rsidRPr="00044389">
        <w:rPr>
          <w:rFonts w:eastAsia="Verdana" w:cs="Verdana"/>
        </w:rPr>
        <w:t>I</w:t>
      </w:r>
      <w:r w:rsidR="00744764" w:rsidRPr="00044389">
        <w:rPr>
          <w:rFonts w:eastAsia="Verdana" w:cs="Verdana"/>
        </w:rPr>
        <w:t xml:space="preserve">nstrument </w:t>
      </w:r>
      <w:r w:rsidRPr="00044389">
        <w:rPr>
          <w:rFonts w:eastAsia="Verdana" w:cs="Verdana"/>
        </w:rPr>
        <w:t>C</w:t>
      </w:r>
      <w:r w:rsidR="00744764" w:rsidRPr="00044389">
        <w:rPr>
          <w:rFonts w:eastAsia="Verdana" w:cs="Verdana"/>
        </w:rPr>
        <w:t>entre</w:t>
      </w:r>
      <w:r w:rsidRPr="00044389">
        <w:rPr>
          <w:rFonts w:eastAsia="Verdana" w:cs="Verdana"/>
        </w:rPr>
        <w:t>s</w:t>
      </w:r>
      <w:r w:rsidR="00CE1183" w:rsidRPr="00044389">
        <w:rPr>
          <w:rFonts w:eastAsia="Verdana" w:cs="Verdana"/>
        </w:rPr>
        <w:t xml:space="preserve"> (RICs)</w:t>
      </w:r>
      <w:r w:rsidRPr="00044389">
        <w:rPr>
          <w:rFonts w:eastAsia="Verdana" w:cs="Verdana"/>
        </w:rPr>
        <w:t xml:space="preserve">, </w:t>
      </w:r>
      <w:r w:rsidR="000F3310" w:rsidRPr="000F3310">
        <w:rPr>
          <w:rFonts w:eastAsia="Verdana" w:cs="Verdana"/>
        </w:rPr>
        <w:t>Regional Marine Instrum</w:t>
      </w:r>
      <w:r w:rsidR="000F3310" w:rsidRPr="00A058A5">
        <w:rPr>
          <w:rFonts w:eastAsia="Verdana" w:cs="Verdana"/>
        </w:rPr>
        <w:t>ent Centre</w:t>
      </w:r>
      <w:r w:rsidR="005E57DA" w:rsidRPr="00A058A5">
        <w:rPr>
          <w:rFonts w:eastAsia="Verdana" w:cs="Verdana"/>
        </w:rPr>
        <w:t>s</w:t>
      </w:r>
      <w:r w:rsidR="000F3310" w:rsidRPr="00A058A5">
        <w:rPr>
          <w:rFonts w:eastAsia="Verdana" w:cs="Verdana"/>
        </w:rPr>
        <w:t xml:space="preserve"> </w:t>
      </w:r>
      <w:r w:rsidR="008F00CF" w:rsidRPr="00A058A5">
        <w:rPr>
          <w:rFonts w:eastAsia="Verdana" w:cs="Verdana"/>
        </w:rPr>
        <w:t>(</w:t>
      </w:r>
      <w:r w:rsidRPr="00A058A5">
        <w:rPr>
          <w:rFonts w:eastAsia="Verdana" w:cs="Verdana"/>
        </w:rPr>
        <w:t>RMICs</w:t>
      </w:r>
      <w:r w:rsidR="008F00CF" w:rsidRPr="00A058A5">
        <w:rPr>
          <w:rFonts w:eastAsia="Verdana" w:cs="Verdana"/>
        </w:rPr>
        <w:t>)</w:t>
      </w:r>
      <w:r w:rsidR="005E57DA" w:rsidRPr="00A058A5">
        <w:rPr>
          <w:rFonts w:eastAsia="Verdana" w:cs="Verdana"/>
        </w:rPr>
        <w:t xml:space="preserve"> and Measurement Lead Centres </w:t>
      </w:r>
      <w:r w:rsidR="008F00CF" w:rsidRPr="00A058A5">
        <w:rPr>
          <w:rFonts w:eastAsia="Verdana" w:cs="Verdana"/>
        </w:rPr>
        <w:t>(</w:t>
      </w:r>
      <w:r w:rsidRPr="00A058A5">
        <w:rPr>
          <w:rFonts w:eastAsia="Verdana" w:cs="Verdana"/>
        </w:rPr>
        <w:t>ML</w:t>
      </w:r>
      <w:r w:rsidR="005E57DA" w:rsidRPr="00A058A5">
        <w:rPr>
          <w:rFonts w:eastAsia="Verdana" w:cs="Verdana"/>
        </w:rPr>
        <w:t>C</w:t>
      </w:r>
      <w:r w:rsidRPr="00A058A5">
        <w:rPr>
          <w:rFonts w:eastAsia="Verdana" w:cs="Verdana"/>
        </w:rPr>
        <w:t>s</w:t>
      </w:r>
      <w:r w:rsidR="008F00CF" w:rsidRPr="00A058A5">
        <w:rPr>
          <w:rFonts w:eastAsia="Verdana" w:cs="Verdana"/>
        </w:rPr>
        <w:t>)</w:t>
      </w:r>
      <w:r w:rsidRPr="00A058A5">
        <w:rPr>
          <w:rFonts w:eastAsia="Verdana" w:cs="Verdana"/>
        </w:rPr>
        <w:t>)</w:t>
      </w:r>
      <w:r w:rsidRPr="00044389">
        <w:rPr>
          <w:rFonts w:eastAsia="Verdana" w:cs="Verdana"/>
        </w:rPr>
        <w:t xml:space="preserve"> to collaborate with </w:t>
      </w:r>
      <w:r w:rsidR="009F286A" w:rsidRPr="00044389">
        <w:rPr>
          <w:rFonts w:eastAsia="Verdana" w:cs="Verdana"/>
        </w:rPr>
        <w:t>Regional Training Centres (</w:t>
      </w:r>
      <w:r w:rsidRPr="00044389">
        <w:rPr>
          <w:rFonts w:eastAsia="Verdana" w:cs="Verdana"/>
        </w:rPr>
        <w:t>RTCs</w:t>
      </w:r>
      <w:r w:rsidR="009F286A" w:rsidRPr="00044389">
        <w:rPr>
          <w:rFonts w:eastAsia="Verdana" w:cs="Verdana"/>
        </w:rPr>
        <w:t>)</w:t>
      </w:r>
      <w:r w:rsidRPr="00044389">
        <w:rPr>
          <w:rFonts w:eastAsia="Verdana" w:cs="Verdana"/>
        </w:rPr>
        <w:t xml:space="preserve">, supported by the Regional Offices, on the development and conduction </w:t>
      </w:r>
      <w:r w:rsidR="00D1655E" w:rsidRPr="00D1655E">
        <w:rPr>
          <w:rFonts w:eastAsia="Verdana" w:cs="Verdana"/>
        </w:rPr>
        <w:t>of the training workshops towards the achievement of the WMO long-term goals and the strategic objectives</w:t>
      </w:r>
      <w:r w:rsidRPr="00044389">
        <w:rPr>
          <w:rFonts w:eastAsia="Verdana" w:cs="Verdana"/>
        </w:rPr>
        <w:t xml:space="preserve">;   </w:t>
      </w:r>
    </w:p>
    <w:p w14:paraId="73E9592C" w14:textId="77777777" w:rsidR="00BE54E7" w:rsidRPr="00044389" w:rsidRDefault="00BE54E7" w:rsidP="00BE54E7">
      <w:pPr>
        <w:pStyle w:val="WMOIndent1"/>
        <w:rPr>
          <w:rFonts w:eastAsia="Verdana" w:cs="Verdana"/>
        </w:rPr>
      </w:pPr>
      <w:r w:rsidRPr="00044389">
        <w:rPr>
          <w:rFonts w:eastAsia="Verdana" w:cs="Verdana"/>
        </w:rPr>
        <w:t>(4)</w:t>
      </w:r>
      <w:r w:rsidRPr="00044389">
        <w:rPr>
          <w:rFonts w:eastAsia="Verdana" w:cs="Verdana"/>
        </w:rPr>
        <w:tab/>
        <w:t xml:space="preserve">To coordinate with the WMO Global Campus Initiative development and mobilization of the existing and future education and training opportunities and resources, and develop partnerships for collaborative projects and share resources across institutions; </w:t>
      </w:r>
    </w:p>
    <w:p w14:paraId="5A0EDDAD" w14:textId="77777777" w:rsidR="00BE54E7" w:rsidRPr="00044389" w:rsidRDefault="00BE54E7" w:rsidP="00FB0E56">
      <w:pPr>
        <w:pStyle w:val="WMOIndent1"/>
        <w:rPr>
          <w:rFonts w:eastAsia="Verdana" w:cs="Verdana"/>
        </w:rPr>
      </w:pPr>
      <w:r w:rsidRPr="00044389">
        <w:rPr>
          <w:rFonts w:eastAsia="Verdana" w:cs="Verdana"/>
        </w:rPr>
        <w:t>(5)</w:t>
      </w:r>
      <w:r w:rsidRPr="00044389">
        <w:rPr>
          <w:rFonts w:eastAsia="Verdana" w:cs="Verdana"/>
        </w:rPr>
        <w:tab/>
        <w:t xml:space="preserve">To make better use of already developed capacity development and training materials (as present in the draft dashboard in </w:t>
      </w:r>
      <w:r w:rsidR="00FD4114" w:rsidRPr="00FD4114">
        <w:rPr>
          <w:rFonts w:eastAsia="Verdana" w:cs="Verdana"/>
          <w:lang w:val="en-CH"/>
        </w:rPr>
        <w:t>INFCOM-2/</w:t>
      </w:r>
      <w:r w:rsidR="00FB0E56" w:rsidRPr="00044389">
        <w:rPr>
          <w:rFonts w:eastAsia="Verdana" w:cs="Verdana"/>
        </w:rPr>
        <w:t xml:space="preserve">INF. 8 Table </w:t>
      </w:r>
      <w:r w:rsidR="00F17044">
        <w:rPr>
          <w:rFonts w:eastAsia="Verdana" w:cs="Verdana"/>
        </w:rPr>
        <w:t>D</w:t>
      </w:r>
      <w:r w:rsidRPr="00044389">
        <w:rPr>
          <w:rFonts w:eastAsia="Verdana" w:cs="Verdana"/>
        </w:rPr>
        <w:t>) and improve the access to existing material</w:t>
      </w:r>
      <w:r w:rsidR="008A7836" w:rsidRPr="00044389">
        <w:rPr>
          <w:rFonts w:eastAsia="Verdana" w:cs="Verdana"/>
        </w:rPr>
        <w:t>s</w:t>
      </w:r>
      <w:r w:rsidRPr="00044389">
        <w:rPr>
          <w:rFonts w:eastAsia="Verdana" w:cs="Verdana"/>
        </w:rPr>
        <w:t>, including contribution to</w:t>
      </w:r>
      <w:r w:rsidR="008A7836" w:rsidRPr="00044389">
        <w:rPr>
          <w:rFonts w:eastAsia="Verdana" w:cs="Verdana"/>
        </w:rPr>
        <w:t xml:space="preserve"> the</w:t>
      </w:r>
      <w:r w:rsidRPr="00044389">
        <w:rPr>
          <w:rFonts w:eastAsia="Verdana" w:cs="Verdana"/>
        </w:rPr>
        <w:t xml:space="preserve"> WMO Global Campus calendar and library; </w:t>
      </w:r>
    </w:p>
    <w:p w14:paraId="075B16E2" w14:textId="77777777" w:rsidR="00BE54E7" w:rsidRPr="00044389" w:rsidRDefault="00BE54E7" w:rsidP="00BE54E7">
      <w:pPr>
        <w:pStyle w:val="WMOIndent1"/>
        <w:rPr>
          <w:rFonts w:eastAsia="Verdana" w:cs="Verdana"/>
        </w:rPr>
      </w:pPr>
      <w:r w:rsidRPr="00044389">
        <w:rPr>
          <w:rFonts w:eastAsia="Verdana" w:cs="Verdana"/>
        </w:rPr>
        <w:t>(6)</w:t>
      </w:r>
      <w:r w:rsidRPr="00044389">
        <w:rPr>
          <w:rFonts w:eastAsia="Verdana" w:cs="Verdana"/>
        </w:rPr>
        <w:tab/>
        <w:t>To explore innovative ways, including the use of machine translation, to make materials available in languages other than English</w:t>
      </w:r>
      <w:r w:rsidR="00A31560">
        <w:rPr>
          <w:rFonts w:eastAsia="Verdana" w:cs="Verdana"/>
        </w:rPr>
        <w:t>;</w:t>
      </w:r>
    </w:p>
    <w:p w14:paraId="4C899832" w14:textId="77777777" w:rsidR="00BE54E7" w:rsidRPr="00044389" w:rsidRDefault="00BE54E7" w:rsidP="00BE54E7">
      <w:pPr>
        <w:pStyle w:val="WMOIndent1"/>
        <w:rPr>
          <w:rFonts w:eastAsia="Verdana" w:cs="Verdana"/>
        </w:rPr>
      </w:pPr>
      <w:r w:rsidRPr="00044389">
        <w:rPr>
          <w:rFonts w:eastAsia="Verdana" w:cs="Verdana"/>
        </w:rPr>
        <w:t xml:space="preserve">(Coordination mechanism within INFCOM) </w:t>
      </w:r>
    </w:p>
    <w:p w14:paraId="55A08390" w14:textId="77777777" w:rsidR="00BE54E7" w:rsidRPr="00044389" w:rsidRDefault="00BE54E7" w:rsidP="00BE54E7">
      <w:pPr>
        <w:pStyle w:val="WMOIndent1"/>
        <w:rPr>
          <w:rFonts w:eastAsia="Verdana" w:cs="Verdana"/>
        </w:rPr>
      </w:pPr>
      <w:r w:rsidRPr="00044389">
        <w:rPr>
          <w:rFonts w:eastAsia="Verdana" w:cs="Verdana"/>
        </w:rPr>
        <w:t>(7)</w:t>
      </w:r>
      <w:r w:rsidRPr="00044389">
        <w:rPr>
          <w:rFonts w:eastAsia="Verdana" w:cs="Verdana"/>
        </w:rPr>
        <w:tab/>
        <w:t>To request the Management Group, in collaboration with the Regional Offices, to establish a mechanism for coordination on capacity development activities among INFCOM groups, while using this mechanism as a training ground for INFCOM experts with less experience</w:t>
      </w:r>
      <w:r w:rsidR="001566BF" w:rsidRPr="00044389">
        <w:rPr>
          <w:rFonts w:eastAsia="Verdana" w:cs="Verdana"/>
        </w:rPr>
        <w:t>;</w:t>
      </w:r>
      <w:r w:rsidRPr="00044389">
        <w:rPr>
          <w:rFonts w:eastAsia="Verdana" w:cs="Verdana"/>
        </w:rPr>
        <w:t xml:space="preserve"> </w:t>
      </w:r>
    </w:p>
    <w:p w14:paraId="09E41D82" w14:textId="77777777" w:rsidR="00BE54E7" w:rsidRPr="00044389" w:rsidRDefault="00BE54E7" w:rsidP="00BE54E7">
      <w:pPr>
        <w:pStyle w:val="WMOIndent1"/>
        <w:rPr>
          <w:rFonts w:eastAsia="Verdana" w:cs="Verdana"/>
        </w:rPr>
      </w:pPr>
      <w:r w:rsidRPr="00044389">
        <w:rPr>
          <w:rFonts w:eastAsia="Verdana" w:cs="Verdana"/>
        </w:rPr>
        <w:t>(</w:t>
      </w:r>
      <w:r w:rsidR="006C6719">
        <w:rPr>
          <w:rFonts w:eastAsia="Verdana" w:cs="Verdana"/>
        </w:rPr>
        <w:t xml:space="preserve">Organization of </w:t>
      </w:r>
      <w:r w:rsidR="00A4251C">
        <w:rPr>
          <w:rFonts w:eastAsia="Verdana" w:cs="Verdana"/>
          <w:lang w:val="en-CH"/>
        </w:rPr>
        <w:t>Technical Conference (</w:t>
      </w:r>
      <w:r w:rsidRPr="00044389">
        <w:rPr>
          <w:rFonts w:eastAsia="Verdana" w:cs="Verdana"/>
        </w:rPr>
        <w:t>TECO</w:t>
      </w:r>
      <w:r w:rsidR="00A4251C">
        <w:rPr>
          <w:rFonts w:eastAsia="Verdana" w:cs="Verdana"/>
          <w:lang w:val="en-CH"/>
        </w:rPr>
        <w:t>)</w:t>
      </w:r>
      <w:r w:rsidRPr="00044389">
        <w:rPr>
          <w:rFonts w:eastAsia="Verdana" w:cs="Verdana"/>
        </w:rPr>
        <w:t>, with P</w:t>
      </w:r>
      <w:r w:rsidR="00627EAC">
        <w:rPr>
          <w:rFonts w:eastAsia="Verdana" w:cs="Verdana"/>
        </w:rPr>
        <w:t xml:space="preserve">rivate </w:t>
      </w:r>
      <w:r w:rsidRPr="00044389">
        <w:rPr>
          <w:rFonts w:eastAsia="Verdana" w:cs="Verdana"/>
        </w:rPr>
        <w:t>P</w:t>
      </w:r>
      <w:r w:rsidR="00627EAC">
        <w:rPr>
          <w:rFonts w:eastAsia="Verdana" w:cs="Verdana"/>
        </w:rPr>
        <w:t xml:space="preserve">ublic </w:t>
      </w:r>
      <w:r w:rsidRPr="00044389">
        <w:rPr>
          <w:rFonts w:eastAsia="Verdana" w:cs="Verdana"/>
        </w:rPr>
        <w:t>E</w:t>
      </w:r>
      <w:r w:rsidR="00627EAC">
        <w:rPr>
          <w:rFonts w:eastAsia="Verdana" w:cs="Verdana"/>
        </w:rPr>
        <w:t>ngagement</w:t>
      </w:r>
      <w:r w:rsidRPr="00044389">
        <w:rPr>
          <w:rFonts w:eastAsia="Verdana" w:cs="Verdana"/>
        </w:rPr>
        <w:t xml:space="preserve">) </w:t>
      </w:r>
    </w:p>
    <w:p w14:paraId="0F4CB0D0" w14:textId="77777777" w:rsidR="005F3E1C" w:rsidRPr="00044389" w:rsidRDefault="00BE54E7" w:rsidP="00BE54E7">
      <w:pPr>
        <w:pStyle w:val="WMOIndent1"/>
        <w:rPr>
          <w:rFonts w:eastAsia="Verdana" w:cs="Verdana"/>
        </w:rPr>
      </w:pPr>
      <w:r w:rsidRPr="00044389">
        <w:rPr>
          <w:rFonts w:eastAsia="Verdana" w:cs="Verdana"/>
        </w:rPr>
        <w:t>(8)</w:t>
      </w:r>
      <w:r w:rsidRPr="00044389">
        <w:rPr>
          <w:rFonts w:eastAsia="Verdana" w:cs="Verdana"/>
        </w:rPr>
        <w:tab/>
        <w:t>To continue regular, biennial organization of the WMO Technical Conferences on the Meteorological and Environmental Instruments and Methods of Observation (TECOs) as an excellent opportunity for training and capacity development, including a mutually beneficial partnership with the private sector.</w:t>
      </w:r>
    </w:p>
    <w:p w14:paraId="0C27D1F7" w14:textId="77777777" w:rsidR="0037222D" w:rsidRDefault="0037222D" w:rsidP="0037222D">
      <w:pPr>
        <w:pStyle w:val="WMOBodyText"/>
      </w:pPr>
      <w:r>
        <w:lastRenderedPageBreak/>
        <w:t>See</w:t>
      </w:r>
      <w:r w:rsidRPr="0037222D">
        <w:t xml:space="preserve"> </w:t>
      </w:r>
      <w:hyperlink r:id="rId15" w:history="1">
        <w:r w:rsidR="002008C4" w:rsidRPr="00C8688F">
          <w:rPr>
            <w:rStyle w:val="Hyperlink"/>
          </w:rPr>
          <w:t>INFCOM-2/</w:t>
        </w:r>
        <w:r w:rsidRPr="00C8688F">
          <w:rPr>
            <w:rStyle w:val="Hyperlink"/>
          </w:rPr>
          <w:t xml:space="preserve">INF. </w:t>
        </w:r>
        <w:r w:rsidR="002008C4" w:rsidRPr="00C8688F">
          <w:rPr>
            <w:rStyle w:val="Hyperlink"/>
          </w:rPr>
          <w:t>8</w:t>
        </w:r>
      </w:hyperlink>
      <w:r w:rsidRPr="00044389">
        <w:t xml:space="preserve"> </w:t>
      </w:r>
      <w:r>
        <w:t>for more information.</w:t>
      </w:r>
    </w:p>
    <w:p w14:paraId="6EAE9F42" w14:textId="77777777" w:rsidR="0037222D" w:rsidRDefault="0037222D" w:rsidP="0037222D">
      <w:pPr>
        <w:pStyle w:val="WMOBodyText"/>
      </w:pPr>
      <w:r>
        <w:t>_______</w:t>
      </w:r>
    </w:p>
    <w:p w14:paraId="3C209F76" w14:textId="5D464CE6" w:rsidR="008D43DF" w:rsidRDefault="0037222D" w:rsidP="007D2DD3">
      <w:pPr>
        <w:pStyle w:val="WMOBodyText"/>
      </w:pPr>
      <w:r>
        <w:t>Decision justification:</w:t>
      </w:r>
      <w:r>
        <w:tab/>
      </w:r>
      <w:hyperlink r:id="rId16" w:anchor="page=530" w:history="1">
        <w:r w:rsidR="007D2DD3" w:rsidRPr="00D0701A">
          <w:rPr>
            <w:rStyle w:val="Hyperlink"/>
          </w:rPr>
          <w:t>Decision 9 (EC-73)</w:t>
        </w:r>
      </w:hyperlink>
      <w:r w:rsidR="007D2DD3">
        <w:t xml:space="preserve"> </w:t>
      </w:r>
      <w:r w:rsidR="00044EAA">
        <w:t>–</w:t>
      </w:r>
      <w:r w:rsidR="007D2DD3">
        <w:t xml:space="preserve"> Recommendations from the Capacity Development Panel</w:t>
      </w:r>
      <w:r w:rsidR="003256EA">
        <w:rPr>
          <w:lang w:val="en-CH"/>
        </w:rPr>
        <w:t>,</w:t>
      </w:r>
      <w:r w:rsidR="007D2DD3">
        <w:t xml:space="preserve"> </w:t>
      </w:r>
      <w:r w:rsidR="00F71AD7" w:rsidRPr="00F71AD7">
        <w:t>identified the review and update of competency frameworks as the work of the Capacity Development Panel, involving INFCOM.</w:t>
      </w:r>
    </w:p>
    <w:p w14:paraId="6D00F901" w14:textId="29797E2C" w:rsidR="00044EAA" w:rsidRPr="00044EAA" w:rsidRDefault="00044EAA" w:rsidP="00044EAA">
      <w:pPr>
        <w:pStyle w:val="WMOBodyText"/>
        <w:jc w:val="center"/>
        <w:rPr>
          <w:lang w:val="en-CH"/>
        </w:rPr>
      </w:pPr>
      <w:r>
        <w:rPr>
          <w:lang w:val="en-CH"/>
        </w:rPr>
        <w:t>_______________</w:t>
      </w:r>
    </w:p>
    <w:sectPr w:rsidR="00044EAA" w:rsidRPr="00044EAA" w:rsidSect="00B63F2D">
      <w:headerReference w:type="even" r:id="rId17"/>
      <w:headerReference w:type="default" r:id="rId18"/>
      <w:headerReference w:type="firs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E851A" w14:textId="77777777" w:rsidR="000F345C" w:rsidRDefault="000F345C">
      <w:r>
        <w:separator/>
      </w:r>
    </w:p>
    <w:p w14:paraId="2C550AE4" w14:textId="77777777" w:rsidR="000F345C" w:rsidRDefault="000F345C"/>
    <w:p w14:paraId="558F9B80" w14:textId="77777777" w:rsidR="000F345C" w:rsidRDefault="000F345C"/>
  </w:endnote>
  <w:endnote w:type="continuationSeparator" w:id="0">
    <w:p w14:paraId="1344066E" w14:textId="77777777" w:rsidR="000F345C" w:rsidRDefault="000F345C">
      <w:r>
        <w:continuationSeparator/>
      </w:r>
    </w:p>
    <w:p w14:paraId="33B766BB" w14:textId="77777777" w:rsidR="000F345C" w:rsidRDefault="000F345C"/>
    <w:p w14:paraId="1DECDED4" w14:textId="77777777" w:rsidR="000F345C" w:rsidRDefault="000F345C"/>
  </w:endnote>
  <w:endnote w:type="continuationNotice" w:id="1">
    <w:p w14:paraId="1540E627" w14:textId="77777777" w:rsidR="000F345C" w:rsidRDefault="000F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0CDD" w14:textId="77777777" w:rsidR="000F345C" w:rsidRDefault="000F345C">
      <w:r>
        <w:separator/>
      </w:r>
    </w:p>
  </w:footnote>
  <w:footnote w:type="continuationSeparator" w:id="0">
    <w:p w14:paraId="61AB10CC" w14:textId="77777777" w:rsidR="000F345C" w:rsidRDefault="000F345C">
      <w:r>
        <w:continuationSeparator/>
      </w:r>
    </w:p>
    <w:p w14:paraId="7AB05712" w14:textId="77777777" w:rsidR="000F345C" w:rsidRDefault="000F345C"/>
    <w:p w14:paraId="5A093C22" w14:textId="77777777" w:rsidR="000F345C" w:rsidRDefault="000F345C"/>
  </w:footnote>
  <w:footnote w:type="continuationNotice" w:id="1">
    <w:p w14:paraId="61A6A8BF" w14:textId="77777777" w:rsidR="000F345C" w:rsidRDefault="000F34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7944" w14:textId="77777777" w:rsidR="006674D0" w:rsidRDefault="00000000">
    <w:pPr>
      <w:pStyle w:val="Header"/>
    </w:pPr>
    <w:r>
      <w:rPr>
        <w:noProof/>
      </w:rPr>
      <w:pict w14:anchorId="42686DAE">
        <v:shapetype id="_x0000_m10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B44768A">
        <v:shape id="_x0000_s1025" type="#_x0000_m104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BE7F9B3" w14:textId="77777777" w:rsidR="000478F7" w:rsidRDefault="000478F7"/>
  <w:p w14:paraId="4D631341" w14:textId="77777777" w:rsidR="006674D0" w:rsidRDefault="00000000">
    <w:pPr>
      <w:pStyle w:val="Header"/>
    </w:pPr>
    <w:r>
      <w:rPr>
        <w:noProof/>
      </w:rPr>
      <w:pict w14:anchorId="4C846D2A">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F5CC6B8">
        <v:shape id="_x0000_s1027" type="#_x0000_m104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CE68C89" w14:textId="77777777" w:rsidR="000478F7" w:rsidRDefault="000478F7"/>
  <w:p w14:paraId="63AA617F" w14:textId="77777777" w:rsidR="006674D0" w:rsidRDefault="00000000">
    <w:pPr>
      <w:pStyle w:val="Header"/>
    </w:pPr>
    <w:r>
      <w:rPr>
        <w:noProof/>
      </w:rPr>
      <w:pict w14:anchorId="754027E1">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946D4EE">
        <v:shape id="_x0000_s1029" type="#_x0000_m1042"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F9BB" w14:textId="0EAFBF6C" w:rsidR="00A432CD" w:rsidRDefault="002008C4" w:rsidP="00B72444">
    <w:pPr>
      <w:pStyle w:val="Header"/>
    </w:pPr>
    <w:r>
      <w:t>INFCOM-2/Doc. 8</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6D638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45C05C8A">
        <v:shape id="_x0000_s1040"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F937" w14:textId="64100A96" w:rsidR="006674D0" w:rsidRDefault="00000000" w:rsidP="00B63F2D">
    <w:pPr>
      <w:pStyle w:val="Header"/>
      <w:spacing w:after="0"/>
      <w:jc w:val="both"/>
    </w:pPr>
    <w:r>
      <w:pict w14:anchorId="5D4CF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58240;visibility:hidden">
          <v:path gradientshapeok="f"/>
          <o:lock v:ext="edit" selection="t"/>
        </v:shape>
      </w:pict>
    </w:r>
    <w:r>
      <w:pict w14:anchorId="371A682A">
        <v:shape id="_x0000_s1038"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1414785">
    <w:abstractNumId w:val="30"/>
  </w:num>
  <w:num w:numId="2" w16cid:durableId="1316759678">
    <w:abstractNumId w:val="45"/>
  </w:num>
  <w:num w:numId="3" w16cid:durableId="1148133748">
    <w:abstractNumId w:val="28"/>
  </w:num>
  <w:num w:numId="4" w16cid:durableId="288584558">
    <w:abstractNumId w:val="37"/>
  </w:num>
  <w:num w:numId="5" w16cid:durableId="980841627">
    <w:abstractNumId w:val="18"/>
  </w:num>
  <w:num w:numId="6" w16cid:durableId="300694432">
    <w:abstractNumId w:val="23"/>
  </w:num>
  <w:num w:numId="7" w16cid:durableId="436290685">
    <w:abstractNumId w:val="19"/>
  </w:num>
  <w:num w:numId="8" w16cid:durableId="2047176327">
    <w:abstractNumId w:val="31"/>
  </w:num>
  <w:num w:numId="9" w16cid:durableId="1222249812">
    <w:abstractNumId w:val="22"/>
  </w:num>
  <w:num w:numId="10" w16cid:durableId="1501433961">
    <w:abstractNumId w:val="21"/>
  </w:num>
  <w:num w:numId="11" w16cid:durableId="117841368">
    <w:abstractNumId w:val="36"/>
  </w:num>
  <w:num w:numId="12" w16cid:durableId="125776200">
    <w:abstractNumId w:val="12"/>
  </w:num>
  <w:num w:numId="13" w16cid:durableId="52822683">
    <w:abstractNumId w:val="26"/>
  </w:num>
  <w:num w:numId="14" w16cid:durableId="288515973">
    <w:abstractNumId w:val="41"/>
  </w:num>
  <w:num w:numId="15" w16cid:durableId="2062052981">
    <w:abstractNumId w:val="20"/>
  </w:num>
  <w:num w:numId="16" w16cid:durableId="1813713106">
    <w:abstractNumId w:val="9"/>
  </w:num>
  <w:num w:numId="17" w16cid:durableId="1609848924">
    <w:abstractNumId w:val="7"/>
  </w:num>
  <w:num w:numId="18" w16cid:durableId="611934611">
    <w:abstractNumId w:val="6"/>
  </w:num>
  <w:num w:numId="19" w16cid:durableId="695808088">
    <w:abstractNumId w:val="5"/>
  </w:num>
  <w:num w:numId="20" w16cid:durableId="1731734383">
    <w:abstractNumId w:val="4"/>
  </w:num>
  <w:num w:numId="21" w16cid:durableId="405422611">
    <w:abstractNumId w:val="8"/>
  </w:num>
  <w:num w:numId="22" w16cid:durableId="163859109">
    <w:abstractNumId w:val="3"/>
  </w:num>
  <w:num w:numId="23" w16cid:durableId="994800109">
    <w:abstractNumId w:val="2"/>
  </w:num>
  <w:num w:numId="24" w16cid:durableId="1478569178">
    <w:abstractNumId w:val="1"/>
  </w:num>
  <w:num w:numId="25" w16cid:durableId="1365016003">
    <w:abstractNumId w:val="0"/>
  </w:num>
  <w:num w:numId="26" w16cid:durableId="1872451676">
    <w:abstractNumId w:val="43"/>
  </w:num>
  <w:num w:numId="27" w16cid:durableId="1895582125">
    <w:abstractNumId w:val="32"/>
  </w:num>
  <w:num w:numId="28" w16cid:durableId="2088112877">
    <w:abstractNumId w:val="24"/>
  </w:num>
  <w:num w:numId="29" w16cid:durableId="688412115">
    <w:abstractNumId w:val="33"/>
  </w:num>
  <w:num w:numId="30" w16cid:durableId="415397955">
    <w:abstractNumId w:val="34"/>
  </w:num>
  <w:num w:numId="31" w16cid:durableId="2093814713">
    <w:abstractNumId w:val="15"/>
  </w:num>
  <w:num w:numId="32" w16cid:durableId="1998486433">
    <w:abstractNumId w:val="40"/>
  </w:num>
  <w:num w:numId="33" w16cid:durableId="757169170">
    <w:abstractNumId w:val="38"/>
  </w:num>
  <w:num w:numId="34" w16cid:durableId="1889535939">
    <w:abstractNumId w:val="25"/>
  </w:num>
  <w:num w:numId="35" w16cid:durableId="1230263067">
    <w:abstractNumId w:val="27"/>
  </w:num>
  <w:num w:numId="36" w16cid:durableId="828323724">
    <w:abstractNumId w:val="44"/>
  </w:num>
  <w:num w:numId="37" w16cid:durableId="385448392">
    <w:abstractNumId w:val="35"/>
  </w:num>
  <w:num w:numId="38" w16cid:durableId="191697537">
    <w:abstractNumId w:val="13"/>
  </w:num>
  <w:num w:numId="39" w16cid:durableId="1084112666">
    <w:abstractNumId w:val="14"/>
  </w:num>
  <w:num w:numId="40" w16cid:durableId="1225145822">
    <w:abstractNumId w:val="16"/>
  </w:num>
  <w:num w:numId="41" w16cid:durableId="1947806777">
    <w:abstractNumId w:val="10"/>
  </w:num>
  <w:num w:numId="42" w16cid:durableId="1699811519">
    <w:abstractNumId w:val="42"/>
  </w:num>
  <w:num w:numId="43" w16cid:durableId="1604649787">
    <w:abstractNumId w:val="17"/>
  </w:num>
  <w:num w:numId="44" w16cid:durableId="15155489">
    <w:abstractNumId w:val="29"/>
  </w:num>
  <w:num w:numId="45" w16cid:durableId="1099259071">
    <w:abstractNumId w:val="39"/>
  </w:num>
  <w:num w:numId="46" w16cid:durableId="21395674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C4"/>
    <w:rsid w:val="00005301"/>
    <w:rsid w:val="000133EE"/>
    <w:rsid w:val="000206A8"/>
    <w:rsid w:val="00023815"/>
    <w:rsid w:val="00023996"/>
    <w:rsid w:val="00027205"/>
    <w:rsid w:val="0003137A"/>
    <w:rsid w:val="00041171"/>
    <w:rsid w:val="00041727"/>
    <w:rsid w:val="0004226F"/>
    <w:rsid w:val="00044389"/>
    <w:rsid w:val="00044EAA"/>
    <w:rsid w:val="000478F7"/>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52E7"/>
    <w:rsid w:val="000A69BF"/>
    <w:rsid w:val="000C225A"/>
    <w:rsid w:val="000C6781"/>
    <w:rsid w:val="000D0753"/>
    <w:rsid w:val="000F3310"/>
    <w:rsid w:val="000F345C"/>
    <w:rsid w:val="000F5E49"/>
    <w:rsid w:val="000F7A87"/>
    <w:rsid w:val="00102EAE"/>
    <w:rsid w:val="001047DC"/>
    <w:rsid w:val="0010518B"/>
    <w:rsid w:val="00105D2E"/>
    <w:rsid w:val="00111BFD"/>
    <w:rsid w:val="0011498B"/>
    <w:rsid w:val="00120147"/>
    <w:rsid w:val="00123140"/>
    <w:rsid w:val="00123D94"/>
    <w:rsid w:val="001246A6"/>
    <w:rsid w:val="00130BBC"/>
    <w:rsid w:val="00133D13"/>
    <w:rsid w:val="00150DBD"/>
    <w:rsid w:val="001566BF"/>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8C4"/>
    <w:rsid w:val="0020095E"/>
    <w:rsid w:val="00207485"/>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2543"/>
    <w:rsid w:val="00307DDD"/>
    <w:rsid w:val="003143C9"/>
    <w:rsid w:val="003146E9"/>
    <w:rsid w:val="00314D5D"/>
    <w:rsid w:val="00320009"/>
    <w:rsid w:val="0032424A"/>
    <w:rsid w:val="003245D3"/>
    <w:rsid w:val="003256EA"/>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C01AB"/>
    <w:rsid w:val="003C17A5"/>
    <w:rsid w:val="003C1843"/>
    <w:rsid w:val="003D0849"/>
    <w:rsid w:val="003D1552"/>
    <w:rsid w:val="003E381F"/>
    <w:rsid w:val="003E4046"/>
    <w:rsid w:val="003F003A"/>
    <w:rsid w:val="003F125B"/>
    <w:rsid w:val="003F70C2"/>
    <w:rsid w:val="003F7B3F"/>
    <w:rsid w:val="004058AD"/>
    <w:rsid w:val="0041078D"/>
    <w:rsid w:val="00416F97"/>
    <w:rsid w:val="00425173"/>
    <w:rsid w:val="0043039B"/>
    <w:rsid w:val="00436197"/>
    <w:rsid w:val="004423FE"/>
    <w:rsid w:val="00445C35"/>
    <w:rsid w:val="00454B41"/>
    <w:rsid w:val="0045663A"/>
    <w:rsid w:val="004620ED"/>
    <w:rsid w:val="0046344E"/>
    <w:rsid w:val="004667E7"/>
    <w:rsid w:val="004672CF"/>
    <w:rsid w:val="00470BAC"/>
    <w:rsid w:val="00470DEF"/>
    <w:rsid w:val="00475797"/>
    <w:rsid w:val="00476D0A"/>
    <w:rsid w:val="00481EE6"/>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10758"/>
    <w:rsid w:val="00511999"/>
    <w:rsid w:val="005145D6"/>
    <w:rsid w:val="00521EA5"/>
    <w:rsid w:val="00525B80"/>
    <w:rsid w:val="0053098F"/>
    <w:rsid w:val="00536B2E"/>
    <w:rsid w:val="00545653"/>
    <w:rsid w:val="00546D8E"/>
    <w:rsid w:val="00553738"/>
    <w:rsid w:val="00553F7E"/>
    <w:rsid w:val="0056646F"/>
    <w:rsid w:val="00571AE1"/>
    <w:rsid w:val="00581B28"/>
    <w:rsid w:val="005859C2"/>
    <w:rsid w:val="00592267"/>
    <w:rsid w:val="0059421F"/>
    <w:rsid w:val="005A136D"/>
    <w:rsid w:val="005B0AE2"/>
    <w:rsid w:val="005B1F2C"/>
    <w:rsid w:val="005B5F3C"/>
    <w:rsid w:val="005C41F2"/>
    <w:rsid w:val="005D03D9"/>
    <w:rsid w:val="005D1EE8"/>
    <w:rsid w:val="005D240E"/>
    <w:rsid w:val="005D56AE"/>
    <w:rsid w:val="005D666D"/>
    <w:rsid w:val="005E3A59"/>
    <w:rsid w:val="005E57DA"/>
    <w:rsid w:val="005F1BC2"/>
    <w:rsid w:val="005F3E1C"/>
    <w:rsid w:val="005F55BA"/>
    <w:rsid w:val="006022C1"/>
    <w:rsid w:val="00604802"/>
    <w:rsid w:val="00615AB0"/>
    <w:rsid w:val="00616247"/>
    <w:rsid w:val="0061778C"/>
    <w:rsid w:val="00627EAC"/>
    <w:rsid w:val="00636B90"/>
    <w:rsid w:val="0064738B"/>
    <w:rsid w:val="006508EA"/>
    <w:rsid w:val="006674D0"/>
    <w:rsid w:val="00667E86"/>
    <w:rsid w:val="0068392D"/>
    <w:rsid w:val="00684986"/>
    <w:rsid w:val="00697DB5"/>
    <w:rsid w:val="006A1B33"/>
    <w:rsid w:val="006A492A"/>
    <w:rsid w:val="006B5C72"/>
    <w:rsid w:val="006B7C5A"/>
    <w:rsid w:val="006C289D"/>
    <w:rsid w:val="006C6719"/>
    <w:rsid w:val="006D0310"/>
    <w:rsid w:val="006D2009"/>
    <w:rsid w:val="006D5576"/>
    <w:rsid w:val="006E766D"/>
    <w:rsid w:val="006F4B29"/>
    <w:rsid w:val="006F6CE9"/>
    <w:rsid w:val="0070517C"/>
    <w:rsid w:val="00705C9F"/>
    <w:rsid w:val="0071627F"/>
    <w:rsid w:val="00716951"/>
    <w:rsid w:val="00720F6B"/>
    <w:rsid w:val="007221CB"/>
    <w:rsid w:val="00730ADA"/>
    <w:rsid w:val="00732C37"/>
    <w:rsid w:val="00735D9E"/>
    <w:rsid w:val="00744764"/>
    <w:rsid w:val="00745A09"/>
    <w:rsid w:val="00751EAF"/>
    <w:rsid w:val="00754CF7"/>
    <w:rsid w:val="00757B0D"/>
    <w:rsid w:val="00761320"/>
    <w:rsid w:val="007651B1"/>
    <w:rsid w:val="00767CE1"/>
    <w:rsid w:val="00771A68"/>
    <w:rsid w:val="007744D2"/>
    <w:rsid w:val="00786136"/>
    <w:rsid w:val="007B05CF"/>
    <w:rsid w:val="007C100D"/>
    <w:rsid w:val="007C212A"/>
    <w:rsid w:val="007D2DD3"/>
    <w:rsid w:val="007D5B3C"/>
    <w:rsid w:val="007E2FB2"/>
    <w:rsid w:val="007E7B69"/>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836"/>
    <w:rsid w:val="008A7D91"/>
    <w:rsid w:val="008B7FC7"/>
    <w:rsid w:val="008C4337"/>
    <w:rsid w:val="008C4F06"/>
    <w:rsid w:val="008D0C90"/>
    <w:rsid w:val="008D43DF"/>
    <w:rsid w:val="008E12D9"/>
    <w:rsid w:val="008E1E4A"/>
    <w:rsid w:val="008F00CF"/>
    <w:rsid w:val="008F0615"/>
    <w:rsid w:val="008F103E"/>
    <w:rsid w:val="008F1FDB"/>
    <w:rsid w:val="008F36FB"/>
    <w:rsid w:val="00902EA9"/>
    <w:rsid w:val="0090427F"/>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F196A"/>
    <w:rsid w:val="009F286A"/>
    <w:rsid w:val="009F3C74"/>
    <w:rsid w:val="009F669B"/>
    <w:rsid w:val="009F7566"/>
    <w:rsid w:val="009F7F18"/>
    <w:rsid w:val="00A02A72"/>
    <w:rsid w:val="00A058A5"/>
    <w:rsid w:val="00A06BFE"/>
    <w:rsid w:val="00A10F5D"/>
    <w:rsid w:val="00A1199A"/>
    <w:rsid w:val="00A1243C"/>
    <w:rsid w:val="00A135AE"/>
    <w:rsid w:val="00A14AF1"/>
    <w:rsid w:val="00A16891"/>
    <w:rsid w:val="00A268CE"/>
    <w:rsid w:val="00A31560"/>
    <w:rsid w:val="00A332E8"/>
    <w:rsid w:val="00A35AF5"/>
    <w:rsid w:val="00A35DDF"/>
    <w:rsid w:val="00A36CBA"/>
    <w:rsid w:val="00A4251C"/>
    <w:rsid w:val="00A432CD"/>
    <w:rsid w:val="00A45741"/>
    <w:rsid w:val="00A47EF6"/>
    <w:rsid w:val="00A50291"/>
    <w:rsid w:val="00A530E4"/>
    <w:rsid w:val="00A604CD"/>
    <w:rsid w:val="00A60FE6"/>
    <w:rsid w:val="00A622F5"/>
    <w:rsid w:val="00A654BE"/>
    <w:rsid w:val="00A66DD6"/>
    <w:rsid w:val="00A66F91"/>
    <w:rsid w:val="00A75018"/>
    <w:rsid w:val="00A771FD"/>
    <w:rsid w:val="00A80767"/>
    <w:rsid w:val="00A81C90"/>
    <w:rsid w:val="00A874EF"/>
    <w:rsid w:val="00A95415"/>
    <w:rsid w:val="00AA3C89"/>
    <w:rsid w:val="00AB32BD"/>
    <w:rsid w:val="00AB4723"/>
    <w:rsid w:val="00AC4CDB"/>
    <w:rsid w:val="00AC70FE"/>
    <w:rsid w:val="00AD3AA3"/>
    <w:rsid w:val="00AD4358"/>
    <w:rsid w:val="00AD5472"/>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63F2D"/>
    <w:rsid w:val="00B72444"/>
    <w:rsid w:val="00B93B62"/>
    <w:rsid w:val="00B953D1"/>
    <w:rsid w:val="00B96D93"/>
    <w:rsid w:val="00BA30D0"/>
    <w:rsid w:val="00BB0D32"/>
    <w:rsid w:val="00BC76B5"/>
    <w:rsid w:val="00BD0D8E"/>
    <w:rsid w:val="00BD5420"/>
    <w:rsid w:val="00BE54E7"/>
    <w:rsid w:val="00BF5191"/>
    <w:rsid w:val="00C04BD2"/>
    <w:rsid w:val="00C13EEC"/>
    <w:rsid w:val="00C14689"/>
    <w:rsid w:val="00C156A4"/>
    <w:rsid w:val="00C20FAA"/>
    <w:rsid w:val="00C23509"/>
    <w:rsid w:val="00C2459D"/>
    <w:rsid w:val="00C2755A"/>
    <w:rsid w:val="00C305BE"/>
    <w:rsid w:val="00C316F1"/>
    <w:rsid w:val="00C42C95"/>
    <w:rsid w:val="00C4470F"/>
    <w:rsid w:val="00C50727"/>
    <w:rsid w:val="00C55E5B"/>
    <w:rsid w:val="00C62739"/>
    <w:rsid w:val="00C720A4"/>
    <w:rsid w:val="00C74F59"/>
    <w:rsid w:val="00C7611C"/>
    <w:rsid w:val="00C8688F"/>
    <w:rsid w:val="00C92D1A"/>
    <w:rsid w:val="00C94097"/>
    <w:rsid w:val="00CA4269"/>
    <w:rsid w:val="00CA48CA"/>
    <w:rsid w:val="00CA4BA1"/>
    <w:rsid w:val="00CA7330"/>
    <w:rsid w:val="00CB1C84"/>
    <w:rsid w:val="00CB5363"/>
    <w:rsid w:val="00CB64F0"/>
    <w:rsid w:val="00CC2909"/>
    <w:rsid w:val="00CD0549"/>
    <w:rsid w:val="00CE1183"/>
    <w:rsid w:val="00CE6B3C"/>
    <w:rsid w:val="00D05E6F"/>
    <w:rsid w:val="00D0701A"/>
    <w:rsid w:val="00D1655E"/>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17044"/>
    <w:rsid w:val="00F2412D"/>
    <w:rsid w:val="00F25D8D"/>
    <w:rsid w:val="00F3069C"/>
    <w:rsid w:val="00F3603E"/>
    <w:rsid w:val="00F44CCB"/>
    <w:rsid w:val="00F474C9"/>
    <w:rsid w:val="00F5126B"/>
    <w:rsid w:val="00F54EA3"/>
    <w:rsid w:val="00F61675"/>
    <w:rsid w:val="00F6686B"/>
    <w:rsid w:val="00F67F74"/>
    <w:rsid w:val="00F712B3"/>
    <w:rsid w:val="00F71AD7"/>
    <w:rsid w:val="00F71E9F"/>
    <w:rsid w:val="00F73DE3"/>
    <w:rsid w:val="00F744BF"/>
    <w:rsid w:val="00F7632C"/>
    <w:rsid w:val="00F76DE4"/>
    <w:rsid w:val="00F77219"/>
    <w:rsid w:val="00F80C48"/>
    <w:rsid w:val="00F8145C"/>
    <w:rsid w:val="00F84DD2"/>
    <w:rsid w:val="00F95439"/>
    <w:rsid w:val="00FA326D"/>
    <w:rsid w:val="00FB0872"/>
    <w:rsid w:val="00FB0E56"/>
    <w:rsid w:val="00FB54CC"/>
    <w:rsid w:val="00FD1A37"/>
    <w:rsid w:val="00FD4114"/>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774FC1"/>
  <w15:docId w15:val="{3EEDA4E9-32FE-44D2-92CC-A2114E35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2/InformationDocuments/Forms/AllItems.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etings.wmo.int/INFCOM-2/InformationDocuments/Forms/AllItem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110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eetings.wmo.int/INFCOM-2/InformationDocuments/Forms/AllItems.aspx"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D1582956-F2E7-41A1-8EA1-5D028B4FE0BD}"/>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4405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Kirsty Mackay</cp:lastModifiedBy>
  <cp:revision>16</cp:revision>
  <cp:lastPrinted>2022-09-13T06:04:00Z</cp:lastPrinted>
  <dcterms:created xsi:type="dcterms:W3CDTF">2022-09-20T06:34:00Z</dcterms:created>
  <dcterms:modified xsi:type="dcterms:W3CDTF">2022-09-23T06:55:00Z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